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Дәріс 9. КЕҢІСТІКТІК МОДЕЛЬДЕУ</w:t>
      </w:r>
    </w:p>
    <w:p w:rsidR="00000000" w:rsidDel="00000000" w:rsidP="00000000" w:rsidRDefault="00000000" w:rsidRPr="00000000" w14:paraId="00000002">
      <w:pPr>
        <w:spacing w:after="0" w:before="0"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03">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Қазіргі уақытқа дейін біз әртүрлі картографиялық объектілерді әртүрлі күрделіліктегі семантикалық сұраныстар негізінде визуализациялау тәсілдерін, сондай-ақ атрибутивтік ақпаратты өңдеу мен жүйелеуді қарастырдық. Бұл ретте векторлық объектілерде трансформациялар болған жоқ, ал растрлық объектілермен жұмыс пиксельдерді қайта топтастырумен ғана шектелді. Геодеректерді кеңістіктік талдаудың анағұрлым күрделі тәсілі кеңістіктік модельдеу болып табылады, мұнда объектілердің метриялық сипаттамаларының өзі өзгереді.</w:t>
      </w:r>
    </w:p>
    <w:p w:rsidR="00000000" w:rsidDel="00000000" w:rsidP="00000000" w:rsidRDefault="00000000" w:rsidRPr="00000000" w14:paraId="00000004">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қарапайым операциялардың бірі – </w:t>
      </w:r>
      <w:r w:rsidDel="00000000" w:rsidR="00000000" w:rsidRPr="00000000">
        <w:rPr>
          <w:rFonts w:ascii="Cambria" w:cs="Cambria" w:eastAsia="Cambria" w:hAnsi="Cambria"/>
          <w:b w:val="1"/>
          <w:sz w:val="24"/>
          <w:szCs w:val="24"/>
          <w:rtl w:val="0"/>
        </w:rPr>
        <w:t xml:space="preserve">буферлік аймақтарды құру</w:t>
      </w:r>
      <w:r w:rsidDel="00000000" w:rsidR="00000000" w:rsidRPr="00000000">
        <w:rPr>
          <w:rFonts w:ascii="Cambria" w:cs="Cambria" w:eastAsia="Cambria" w:hAnsi="Cambria"/>
          <w:sz w:val="24"/>
          <w:szCs w:val="24"/>
          <w:rtl w:val="0"/>
        </w:rPr>
        <w:t xml:space="preserve">. Олар нүктелік, сызықтық және полигондық векторлық объектілердің айналасында жасалуы мүмкін. Буфер барлық объектілер үшін бірдей етіп берілуі мүмкін немесе әр объект үшін жеке көрсетілген атрибуттық кестедегі баған мәндеріне сәйкес тағайындалуы мүмкін. Бір объектінің айналасында бірнеше буфер құрылуы мүмкін. Мысалы, 40-суретте нүктелік объект (көк үшбұрыш) ретінде су тарту орны көрсетілген. Оның айналасында қатаң режимдегі қолжетімділік аймағы ретінде су тарту ұңғымасынан бастап қоршауға дейін 50 м радиус шеңбер сызылады. Екінші буфер – 50 м-ден 250 м-ге дейінгі сақина болып, шектеулі қолжетімділік аймағын білдіреді.</w:t>
      </w:r>
    </w:p>
    <w:p w:rsidR="00000000" w:rsidDel="00000000" w:rsidP="00000000" w:rsidRDefault="00000000" w:rsidRPr="00000000" w14:paraId="00000005">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Осы суретте сызықтық элемент ретінде II класты автомобиль магистралі көрсетілген, оның санитарлық-қорғау аймағы 75 м. Полигондық объект ретінде автобус кәсіпорнының аумағы таңдалған. Оның айналасында ластану аймағы 100 м-ге, ал теріс шу әсері 475 м-ге дейін таралады.</w:t>
      </w:r>
    </w:p>
    <w:p w:rsidR="00000000" w:rsidDel="00000000" w:rsidP="00000000" w:rsidRDefault="00000000" w:rsidRPr="00000000" w14:paraId="00000006">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Бір геометриялық типтегі объектілер қоршаған ортаға әсер ету дәрежесіне қарай саралануы мүмкін. Мысалы, 41-суретте орман алқабындағы соқпақтар көрсетілген. Орман ландшафтына антропогендік әсеріне қарай соқпақтар сыныптарға бөлінген. Әр сыныпқа әсер ету аймағы метрмен тағайындалған:</w:t>
      </w:r>
    </w:p>
    <w:p w:rsidR="00000000" w:rsidDel="00000000" w:rsidP="00000000" w:rsidRDefault="00000000" w:rsidRPr="00000000" w14:paraId="00000007">
      <w:pPr>
        <w:numPr>
          <w:ilvl w:val="0"/>
          <w:numId w:val="2"/>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қарқынды қозғалысы бар ірі федералды трассалар – 250 м,</w:t>
        <w:br w:type="textWrapping"/>
      </w:r>
    </w:p>
    <w:p w:rsidR="00000000" w:rsidDel="00000000" w:rsidP="00000000" w:rsidRDefault="00000000" w:rsidRPr="00000000" w14:paraId="00000008">
      <w:pPr>
        <w:numPr>
          <w:ilvl w:val="0"/>
          <w:numId w:val="2"/>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асфальтталған автомобиль және жаяу жолдар – 120 м,</w:t>
        <w:br w:type="textWrapping"/>
      </w:r>
    </w:p>
    <w:p w:rsidR="00000000" w:rsidDel="00000000" w:rsidP="00000000" w:rsidRDefault="00000000" w:rsidRPr="00000000" w14:paraId="00000009">
      <w:pPr>
        <w:numPr>
          <w:ilvl w:val="0"/>
          <w:numId w:val="2"/>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көлік жүре алатын орман шаруашылық жолдары – 50 м,</w:t>
        <w:br w:type="textWrapping"/>
      </w:r>
    </w:p>
    <w:p w:rsidR="00000000" w:rsidDel="00000000" w:rsidP="00000000" w:rsidRDefault="00000000" w:rsidRPr="00000000" w14:paraId="0000000A">
      <w:pPr>
        <w:numPr>
          <w:ilvl w:val="0"/>
          <w:numId w:val="2"/>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төселген және қарқынды қолданылатын топырақ соқпақтары – 20 м,</w:t>
        <w:br w:type="textWrapping"/>
      </w:r>
    </w:p>
    <w:p w:rsidR="00000000" w:rsidDel="00000000" w:rsidP="00000000" w:rsidRDefault="00000000" w:rsidRPr="00000000" w14:paraId="0000000B">
      <w:pPr>
        <w:numPr>
          <w:ilvl w:val="0"/>
          <w:numId w:val="2"/>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әлсіз, мезгіл-мезгіл қолданылатын топырақ соқпақтары – 10 м.</w:t>
        <w:br w:type="textWrapping"/>
      </w:r>
    </w:p>
    <w:p w:rsidR="00000000" w:rsidDel="00000000" w:rsidP="00000000" w:rsidRDefault="00000000" w:rsidRPr="00000000" w14:paraId="0000000C">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Құрылған буферлік аймақтар схемасы (41-сурет) барлық сыныптағы жолдар мен соқпақтарды біріктіру нәтижесінде алынды. Бұл мысалда буферлердің қиылысуы мен қабаттасуы талданбайды, себебі мұнда тек ұсақ фаунаның және типтік флораның қайта көбеюі қиындайтын аймақтар анықталады. Егер әртүрлі объектілердің әсер ету аймақтарының бір-бірімен қабаттасуын ескеріп, кешенді селитебтік жүктемені талдау қажет болса, онда оверлейлік операциялар қолданылады.</w:t>
      </w:r>
    </w:p>
    <w:p w:rsidR="00000000" w:rsidDel="00000000" w:rsidP="00000000" w:rsidRDefault="00000000" w:rsidRPr="00000000" w14:paraId="0000000D">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Кеңістіктік талдаудың ең танымал тәсілдерінің бірі – </w:t>
      </w:r>
      <w:r w:rsidDel="00000000" w:rsidR="00000000" w:rsidRPr="00000000">
        <w:rPr>
          <w:rFonts w:ascii="Cambria" w:cs="Cambria" w:eastAsia="Cambria" w:hAnsi="Cambria"/>
          <w:b w:val="1"/>
          <w:sz w:val="24"/>
          <w:szCs w:val="24"/>
          <w:rtl w:val="0"/>
        </w:rPr>
        <w:t xml:space="preserve">оверлейлік операциялар</w:t>
      </w:r>
      <w:r w:rsidDel="00000000" w:rsidR="00000000" w:rsidRPr="00000000">
        <w:rPr>
          <w:rFonts w:ascii="Cambria" w:cs="Cambria" w:eastAsia="Cambria" w:hAnsi="Cambria"/>
          <w:sz w:val="24"/>
          <w:szCs w:val="24"/>
          <w:rtl w:val="0"/>
        </w:rPr>
        <w:t xml:space="preserve">. Олар екі немесе одан да көп қабатқа тиесілі объектілердің бір-бірінің үстіне қабаттасуы арқылы жаңа объектілерді құрып, нәтижелік қабатқа жазуға мүмкіндік береді.</w:t>
      </w:r>
    </w:p>
    <w:p w:rsidR="00000000" w:rsidDel="00000000" w:rsidP="00000000" w:rsidRDefault="00000000" w:rsidRPr="00000000" w14:paraId="0000000E">
      <w:pPr>
        <w:spacing w:after="0" w:before="0" w:line="240" w:lineRule="auto"/>
        <w:ind w:left="0"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Растрлық деректермен оверлейлік операциялар көбінесе растрлық калькулятордағы семантикалық есептеулерге саяды. Сондықтан біз векторлық объектілермен оверлейлік операцияларды қарастырамыз. Мысалы, 42А-суретте сынап аномалиялары және органикалық қалдықтар көрсетілген екі векторлық қабат бейнеленген. Бұл жағдайда оверлейлік операция кезінде аномалия өрістерінің қабаттасуы болмайды. Ал 42Б-суретте аномалия өрістері қабаттасқан жағдайдағы нәтижесі көрсетілген. Экологиялық геохимияда мұндай нәтиже адамдардың өміріне тікелей әсер етеді, өйткені сынаптың органикалық қосылысы (метилсынап) жай сынаппен немесе тек шіріген органикамен салыстырғанда патологиялық әсерді бірнеше есе күшейтеді.</w:t>
      </w:r>
    </w:p>
    <w:p w:rsidR="00000000" w:rsidDel="00000000" w:rsidP="00000000" w:rsidRDefault="00000000" w:rsidRPr="00000000" w14:paraId="0000000F">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Ең көп қолданылатын оверлейлік функциялар: </w:t>
      </w:r>
      <w:r w:rsidDel="00000000" w:rsidR="00000000" w:rsidRPr="00000000">
        <w:rPr>
          <w:rFonts w:ascii="Cambria" w:cs="Cambria" w:eastAsia="Cambria" w:hAnsi="Cambria"/>
          <w:b w:val="1"/>
          <w:sz w:val="24"/>
          <w:szCs w:val="24"/>
          <w:rtl w:val="0"/>
        </w:rPr>
        <w:t xml:space="preserve">қиылысу (intersect), өшіру (erase), сәйкестік (identity), біріктіру (union), жаңарту (update)</w:t>
      </w:r>
      <w:r w:rsidDel="00000000" w:rsidR="00000000" w:rsidRPr="00000000">
        <w:rPr>
          <w:rFonts w:ascii="Cambria" w:cs="Cambria" w:eastAsia="Cambria" w:hAnsi="Cambria"/>
          <w:sz w:val="24"/>
          <w:szCs w:val="24"/>
          <w:rtl w:val="0"/>
        </w:rPr>
        <w:t xml:space="preserve"> [17].</w:t>
      </w:r>
    </w:p>
    <w:p w:rsidR="00000000" w:rsidDel="00000000" w:rsidP="00000000" w:rsidRDefault="00000000" w:rsidRPr="00000000" w14:paraId="00000010">
      <w:pPr>
        <w:numPr>
          <w:ilvl w:val="0"/>
          <w:numId w:val="3"/>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Қиылысу (intersect)</w:t>
      </w:r>
      <w:r w:rsidDel="00000000" w:rsidR="00000000" w:rsidRPr="00000000">
        <w:rPr>
          <w:rFonts w:ascii="Cambria" w:cs="Cambria" w:eastAsia="Cambria" w:hAnsi="Cambria"/>
          <w:sz w:val="24"/>
          <w:szCs w:val="24"/>
          <w:rtl w:val="0"/>
        </w:rPr>
        <w:t xml:space="preserve"> – екі қабаттың геометриялық қиылысуын есептейді. Шығыс қабатында тек ортақ аймаққа түскен объектілер қалады.</w:t>
        <w:br w:type="textWrapping"/>
      </w:r>
    </w:p>
    <w:p w:rsidR="00000000" w:rsidDel="00000000" w:rsidP="00000000" w:rsidRDefault="00000000" w:rsidRPr="00000000" w14:paraId="00000011">
      <w:pPr>
        <w:numPr>
          <w:ilvl w:val="0"/>
          <w:numId w:val="3"/>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Өшіру (erase)</w:t>
      </w:r>
      <w:r w:rsidDel="00000000" w:rsidR="00000000" w:rsidRPr="00000000">
        <w:rPr>
          <w:rFonts w:ascii="Cambria" w:cs="Cambria" w:eastAsia="Cambria" w:hAnsi="Cambria"/>
          <w:sz w:val="24"/>
          <w:szCs w:val="24"/>
          <w:rtl w:val="0"/>
        </w:rPr>
        <w:t xml:space="preserve"> – кіріс қабат объектілерінен өшіру қабатының полигондары алынып тасталып, сыртында қалған бөлігі ғана шығыс қабатқа көшіріледі.</w:t>
        <w:br w:type="textWrapping"/>
      </w:r>
    </w:p>
    <w:p w:rsidR="00000000" w:rsidDel="00000000" w:rsidP="00000000" w:rsidRDefault="00000000" w:rsidRPr="00000000" w14:paraId="00000012">
      <w:pPr>
        <w:numPr>
          <w:ilvl w:val="0"/>
          <w:numId w:val="3"/>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Сәйкестік (identity)</w:t>
      </w:r>
      <w:r w:rsidDel="00000000" w:rsidR="00000000" w:rsidRPr="00000000">
        <w:rPr>
          <w:rFonts w:ascii="Cambria" w:cs="Cambria" w:eastAsia="Cambria" w:hAnsi="Cambria"/>
          <w:sz w:val="24"/>
          <w:szCs w:val="24"/>
          <w:rtl w:val="0"/>
        </w:rPr>
        <w:t xml:space="preserve"> – екі қабаттың қиылысуын есептейді. Шығыс қабатында бірінші қабаттың барлық объектілері және оларға қабаттасатын екінші қабаттың объектілері сақталады.</w:t>
        <w:br w:type="textWrapping"/>
      </w:r>
    </w:p>
    <w:p w:rsidR="00000000" w:rsidDel="00000000" w:rsidP="00000000" w:rsidRDefault="00000000" w:rsidRPr="00000000" w14:paraId="00000013">
      <w:pPr>
        <w:numPr>
          <w:ilvl w:val="0"/>
          <w:numId w:val="3"/>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Біріктіру (union)</w:t>
      </w:r>
      <w:r w:rsidDel="00000000" w:rsidR="00000000" w:rsidRPr="00000000">
        <w:rPr>
          <w:rFonts w:ascii="Cambria" w:cs="Cambria" w:eastAsia="Cambria" w:hAnsi="Cambria"/>
          <w:sz w:val="24"/>
          <w:szCs w:val="24"/>
          <w:rtl w:val="0"/>
        </w:rPr>
        <w:t xml:space="preserve"> – екі полигондық қабаттың қиылысуын есептейді. Екі қабаттағы барлық полигондар қиылысқан жерлерде бөлшектеніп, шығыс қабатқа толық сақталады.</w:t>
        <w:br w:type="textWrapping"/>
      </w:r>
    </w:p>
    <w:p w:rsidR="00000000" w:rsidDel="00000000" w:rsidP="00000000" w:rsidRDefault="00000000" w:rsidRPr="00000000" w14:paraId="00000014">
      <w:pPr>
        <w:numPr>
          <w:ilvl w:val="0"/>
          <w:numId w:val="3"/>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i w:val="1"/>
          <w:sz w:val="24"/>
          <w:szCs w:val="24"/>
          <w:rtl w:val="0"/>
        </w:rPr>
        <w:t xml:space="preserve">Жаңарту (update)</w:t>
      </w:r>
      <w:r w:rsidDel="00000000" w:rsidR="00000000" w:rsidRPr="00000000">
        <w:rPr>
          <w:rFonts w:ascii="Cambria" w:cs="Cambria" w:eastAsia="Cambria" w:hAnsi="Cambria"/>
          <w:sz w:val="24"/>
          <w:szCs w:val="24"/>
          <w:rtl w:val="0"/>
        </w:rPr>
        <w:t xml:space="preserve"> – кіріс қабат объектілерін жаңарту қабатының полигондары арқылы қиып-енгізу операциясын орындайды.</w:t>
        <w:br w:type="textWrapping"/>
      </w:r>
    </w:p>
    <w:p w:rsidR="00000000" w:rsidDel="00000000" w:rsidP="00000000" w:rsidRDefault="00000000" w:rsidRPr="00000000" w14:paraId="00000015">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Белгілі бір нүктенің маңындағы геодеректерді тікелей талдау үшін </w:t>
      </w:r>
      <w:r w:rsidDel="00000000" w:rsidR="00000000" w:rsidRPr="00000000">
        <w:rPr>
          <w:rFonts w:ascii="Cambria" w:cs="Cambria" w:eastAsia="Cambria" w:hAnsi="Cambria"/>
          <w:b w:val="1"/>
          <w:sz w:val="24"/>
          <w:szCs w:val="24"/>
          <w:rtl w:val="0"/>
        </w:rPr>
        <w:t xml:space="preserve">фокалдық статистика</w:t>
      </w:r>
      <w:r w:rsidDel="00000000" w:rsidR="00000000" w:rsidRPr="00000000">
        <w:rPr>
          <w:rFonts w:ascii="Cambria" w:cs="Cambria" w:eastAsia="Cambria" w:hAnsi="Cambria"/>
          <w:sz w:val="24"/>
          <w:szCs w:val="24"/>
          <w:rtl w:val="0"/>
        </w:rPr>
        <w:t xml:space="preserve"> қолданылады. Көбінесе зерттеушіні жеке нүктенің маңайы емес, барлық пиксельдердің маңайы қызықтырады. Мұндайда аумақ растр түрінде ұсынылады, әр пиксель үшін белгілі бір маңай талданады.</w:t>
      </w:r>
    </w:p>
    <w:p w:rsidR="00000000" w:rsidDel="00000000" w:rsidP="00000000" w:rsidRDefault="00000000" w:rsidRPr="00000000" w14:paraId="00000016">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Маңайдың формасы әртүрлі болуы мүмкін: шеңбер, тікбұрыш (соның ішінде квадрат), сектор, дұрыс емес фигура. Әр пиксель үшін осы маңайдағы деректер талданып, нәтижесі сол пиксельге жазылады. Бұл процесс барлық пиксельдер үшін қайталанады. Нәтижесінде жаңа атрибутивтік сипаттамасы бар, бірақ пиксель саны бірдей растр алынады. Бұл әдіс </w:t>
      </w:r>
      <w:r w:rsidDel="00000000" w:rsidR="00000000" w:rsidRPr="00000000">
        <w:rPr>
          <w:rFonts w:ascii="Cambria" w:cs="Cambria" w:eastAsia="Cambria" w:hAnsi="Cambria"/>
          <w:b w:val="1"/>
          <w:sz w:val="24"/>
          <w:szCs w:val="24"/>
          <w:rtl w:val="0"/>
        </w:rPr>
        <w:t xml:space="preserve">жылжымалы терезе операциясы</w:t>
      </w:r>
      <w:r w:rsidDel="00000000" w:rsidR="00000000" w:rsidRPr="00000000">
        <w:rPr>
          <w:rFonts w:ascii="Cambria" w:cs="Cambria" w:eastAsia="Cambria" w:hAnsi="Cambria"/>
          <w:sz w:val="24"/>
          <w:szCs w:val="24"/>
          <w:rtl w:val="0"/>
        </w:rPr>
        <w:t xml:space="preserve"> деп аталады.</w:t>
      </w:r>
    </w:p>
    <w:p w:rsidR="00000000" w:rsidDel="00000000" w:rsidP="00000000" w:rsidRDefault="00000000" w:rsidRPr="00000000" w14:paraId="00000017">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Көбінесе шеңбер түріндегі маңай қолданылады. Қолжетімді статистика түрлері:</w:t>
      </w:r>
    </w:p>
    <w:p w:rsidR="00000000" w:rsidDel="00000000" w:rsidP="00000000" w:rsidRDefault="00000000" w:rsidRPr="00000000" w14:paraId="00000018">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majority</w:t>
      </w:r>
      <w:r w:rsidDel="00000000" w:rsidR="00000000" w:rsidRPr="00000000">
        <w:rPr>
          <w:rFonts w:ascii="Cambria" w:cs="Cambria" w:eastAsia="Cambria" w:hAnsi="Cambria"/>
          <w:sz w:val="24"/>
          <w:szCs w:val="24"/>
          <w:rtl w:val="0"/>
        </w:rPr>
        <w:t xml:space="preserve"> – ең жиі кездесетін мән, тек бүтін растрлар үшін,</w:t>
        <w:br w:type="textWrapping"/>
      </w:r>
    </w:p>
    <w:p w:rsidR="00000000" w:rsidDel="00000000" w:rsidP="00000000" w:rsidRDefault="00000000" w:rsidRPr="00000000" w14:paraId="00000019">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minority</w:t>
      </w:r>
      <w:r w:rsidDel="00000000" w:rsidR="00000000" w:rsidRPr="00000000">
        <w:rPr>
          <w:rFonts w:ascii="Cambria" w:cs="Cambria" w:eastAsia="Cambria" w:hAnsi="Cambria"/>
          <w:sz w:val="24"/>
          <w:szCs w:val="24"/>
          <w:rtl w:val="0"/>
        </w:rPr>
        <w:t xml:space="preserve"> – ең сирек кездесетін мән, тек бүтін растрлар үшін,</w:t>
        <w:br w:type="textWrapping"/>
      </w:r>
    </w:p>
    <w:p w:rsidR="00000000" w:rsidDel="00000000" w:rsidP="00000000" w:rsidRDefault="00000000" w:rsidRPr="00000000" w14:paraId="0000001A">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maximum</w:t>
      </w:r>
      <w:r w:rsidDel="00000000" w:rsidR="00000000" w:rsidRPr="00000000">
        <w:rPr>
          <w:rFonts w:ascii="Cambria" w:cs="Cambria" w:eastAsia="Cambria" w:hAnsi="Cambria"/>
          <w:sz w:val="24"/>
          <w:szCs w:val="24"/>
          <w:rtl w:val="0"/>
        </w:rPr>
        <w:t xml:space="preserve"> – ең үлкен мән,</w:t>
        <w:br w:type="textWrapping"/>
      </w:r>
    </w:p>
    <w:p w:rsidR="00000000" w:rsidDel="00000000" w:rsidP="00000000" w:rsidRDefault="00000000" w:rsidRPr="00000000" w14:paraId="0000001B">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minimum</w:t>
      </w:r>
      <w:r w:rsidDel="00000000" w:rsidR="00000000" w:rsidRPr="00000000">
        <w:rPr>
          <w:rFonts w:ascii="Cambria" w:cs="Cambria" w:eastAsia="Cambria" w:hAnsi="Cambria"/>
          <w:sz w:val="24"/>
          <w:szCs w:val="24"/>
          <w:rtl w:val="0"/>
        </w:rPr>
        <w:t xml:space="preserve"> – ең кіші мән,</w:t>
        <w:br w:type="textWrapping"/>
      </w:r>
    </w:p>
    <w:p w:rsidR="00000000" w:rsidDel="00000000" w:rsidP="00000000" w:rsidRDefault="00000000" w:rsidRPr="00000000" w14:paraId="0000001C">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mean</w:t>
      </w:r>
      <w:r w:rsidDel="00000000" w:rsidR="00000000" w:rsidRPr="00000000">
        <w:rPr>
          <w:rFonts w:ascii="Cambria" w:cs="Cambria" w:eastAsia="Cambria" w:hAnsi="Cambria"/>
          <w:sz w:val="24"/>
          <w:szCs w:val="24"/>
          <w:rtl w:val="0"/>
        </w:rPr>
        <w:t xml:space="preserve"> – орташа мән,</w:t>
        <w:br w:type="textWrapping"/>
      </w:r>
    </w:p>
    <w:p w:rsidR="00000000" w:rsidDel="00000000" w:rsidP="00000000" w:rsidRDefault="00000000" w:rsidRPr="00000000" w14:paraId="0000001D">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median</w:t>
      </w:r>
      <w:r w:rsidDel="00000000" w:rsidR="00000000" w:rsidRPr="00000000">
        <w:rPr>
          <w:rFonts w:ascii="Cambria" w:cs="Cambria" w:eastAsia="Cambria" w:hAnsi="Cambria"/>
          <w:sz w:val="24"/>
          <w:szCs w:val="24"/>
          <w:rtl w:val="0"/>
        </w:rPr>
        <w:t xml:space="preserve"> – медиана,</w:t>
        <w:br w:type="textWrapping"/>
      </w:r>
    </w:p>
    <w:p w:rsidR="00000000" w:rsidDel="00000000" w:rsidP="00000000" w:rsidRDefault="00000000" w:rsidRPr="00000000" w14:paraId="0000001E">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range</w:t>
      </w:r>
      <w:r w:rsidDel="00000000" w:rsidR="00000000" w:rsidRPr="00000000">
        <w:rPr>
          <w:rFonts w:ascii="Cambria" w:cs="Cambria" w:eastAsia="Cambria" w:hAnsi="Cambria"/>
          <w:sz w:val="24"/>
          <w:szCs w:val="24"/>
          <w:rtl w:val="0"/>
        </w:rPr>
        <w:t xml:space="preserve"> – ең үлкен мен ең кішінің айырмасы,</w:t>
        <w:br w:type="textWrapping"/>
      </w:r>
    </w:p>
    <w:p w:rsidR="00000000" w:rsidDel="00000000" w:rsidP="00000000" w:rsidRDefault="00000000" w:rsidRPr="00000000" w14:paraId="0000001F">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STD</w:t>
      </w:r>
      <w:r w:rsidDel="00000000" w:rsidR="00000000" w:rsidRPr="00000000">
        <w:rPr>
          <w:rFonts w:ascii="Cambria" w:cs="Cambria" w:eastAsia="Cambria" w:hAnsi="Cambria"/>
          <w:sz w:val="24"/>
          <w:szCs w:val="24"/>
          <w:rtl w:val="0"/>
        </w:rPr>
        <w:t xml:space="preserve"> – стандарттық (орташа квадраттық) ауытқу,</w:t>
        <w:br w:type="textWrapping"/>
      </w:r>
    </w:p>
    <w:p w:rsidR="00000000" w:rsidDel="00000000" w:rsidP="00000000" w:rsidRDefault="00000000" w:rsidRPr="00000000" w14:paraId="00000020">
      <w:pPr>
        <w:numPr>
          <w:ilvl w:val="0"/>
          <w:numId w:val="1"/>
        </w:numPr>
        <w:spacing w:after="0" w:before="0" w:line="240" w:lineRule="auto"/>
        <w:ind w:left="720" w:hanging="153.07086614173244"/>
        <w:jc w:val="both"/>
        <w:rPr>
          <w:rFonts w:ascii="Cambria" w:cs="Cambria" w:eastAsia="Cambria" w:hAnsi="Cambria"/>
          <w:sz w:val="24"/>
          <w:szCs w:val="24"/>
        </w:rPr>
      </w:pPr>
      <w:r w:rsidDel="00000000" w:rsidR="00000000" w:rsidRPr="00000000">
        <w:rPr>
          <w:rFonts w:ascii="Cambria" w:cs="Cambria" w:eastAsia="Cambria" w:hAnsi="Cambria"/>
          <w:b w:val="1"/>
          <w:sz w:val="24"/>
          <w:szCs w:val="24"/>
          <w:rtl w:val="0"/>
        </w:rPr>
        <w:t xml:space="preserve">sum</w:t>
      </w:r>
      <w:r w:rsidDel="00000000" w:rsidR="00000000" w:rsidRPr="00000000">
        <w:rPr>
          <w:rFonts w:ascii="Cambria" w:cs="Cambria" w:eastAsia="Cambria" w:hAnsi="Cambria"/>
          <w:sz w:val="24"/>
          <w:szCs w:val="24"/>
          <w:rtl w:val="0"/>
        </w:rPr>
        <w:t xml:space="preserve"> – барлық мәндердің қосындысы.</w:t>
        <w:br w:type="textWrapping"/>
      </w:r>
    </w:p>
    <w:p w:rsidR="00000000" w:rsidDel="00000000" w:rsidP="00000000" w:rsidRDefault="00000000" w:rsidRPr="00000000" w14:paraId="00000021">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Жылжымалы терезедегі тағы бір өңдеу тәсілі – </w:t>
      </w:r>
      <w:r w:rsidDel="00000000" w:rsidR="00000000" w:rsidRPr="00000000">
        <w:rPr>
          <w:rFonts w:ascii="Cambria" w:cs="Cambria" w:eastAsia="Cambria" w:hAnsi="Cambria"/>
          <w:b w:val="1"/>
          <w:sz w:val="24"/>
          <w:szCs w:val="24"/>
          <w:rtl w:val="0"/>
        </w:rPr>
        <w:t xml:space="preserve">тығыздық модельдерін құру</w:t>
      </w:r>
      <w:r w:rsidDel="00000000" w:rsidR="00000000" w:rsidRPr="00000000">
        <w:rPr>
          <w:rFonts w:ascii="Cambria" w:cs="Cambria" w:eastAsia="Cambria" w:hAnsi="Cambria"/>
          <w:sz w:val="24"/>
          <w:szCs w:val="24"/>
          <w:rtl w:val="0"/>
        </w:rPr>
        <w:t xml:space="preserve">. Олар объектілердің таралуын бағалауға мүмкіндік береді. Тығыздық талдауы әртүрлі міндеттерді шешуде қолданылады. ArcGIS-та тығыздық карталары нүктелік және сызықтық векторлық деректерден құрылады. Полигондық векторды да растрға айналдырып, пиксельдерді нүктелерге түрлендіріп пайдалануға болады.</w:t>
      </w:r>
    </w:p>
    <w:p w:rsidR="00000000" w:rsidDel="00000000" w:rsidP="00000000" w:rsidRDefault="00000000" w:rsidRPr="00000000" w14:paraId="00000022">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Тығыздық моделінде әр пиксель үшін белгілі бір радиустағы нүктелер саны есептеліп, ауданға бөлінеді. Ең жиі қолданылатын әдіс – </w:t>
      </w:r>
      <w:r w:rsidDel="00000000" w:rsidR="00000000" w:rsidRPr="00000000">
        <w:rPr>
          <w:rFonts w:ascii="Cambria" w:cs="Cambria" w:eastAsia="Cambria" w:hAnsi="Cambria"/>
          <w:b w:val="1"/>
          <w:sz w:val="24"/>
          <w:szCs w:val="24"/>
          <w:rtl w:val="0"/>
        </w:rPr>
        <w:t xml:space="preserve">Kernel Density</w:t>
      </w:r>
      <w:r w:rsidDel="00000000" w:rsidR="00000000" w:rsidRPr="00000000">
        <w:rPr>
          <w:rFonts w:ascii="Cambria" w:cs="Cambria" w:eastAsia="Cambria" w:hAnsi="Cambria"/>
          <w:sz w:val="24"/>
          <w:szCs w:val="24"/>
          <w:rtl w:val="0"/>
        </w:rPr>
        <w:t xml:space="preserve">. Ол пиксельдің маңындағы нүктелердің тығыздығын есептеп, тегіс беттік модель береді (43А және 43Б-сурет).</w:t>
      </w:r>
    </w:p>
    <w:p w:rsidR="00000000" w:rsidDel="00000000" w:rsidP="00000000" w:rsidRDefault="00000000" w:rsidRPr="00000000" w14:paraId="00000023">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Нәтижеге әсер ететін маңызды параметрлердің бірі – шығыс растрдың пиксель өлшемі. Ол неғұрлым кішкентай болса, соғұрлым модель егжей-тегжейлі болады, ал ірі болған сайын жалпылама көрініс береді. Екінші маңызды параметр – жылжымалы терезенің радиусы.</w:t>
      </w:r>
    </w:p>
    <w:p w:rsidR="00000000" w:rsidDel="00000000" w:rsidP="00000000" w:rsidRDefault="00000000" w:rsidRPr="00000000" w14:paraId="00000024">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Тығыздық талдауынан алынған растр изосызықтарға бөлініп, бірдей тығыздықтағы аймақтар көрсетілуі мүмкін.</w:t>
      </w:r>
    </w:p>
    <w:p w:rsidR="00000000" w:rsidDel="00000000" w:rsidP="00000000" w:rsidRDefault="00000000" w:rsidRPr="00000000" w14:paraId="00000025">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Тығыздық модельдері тек табиғи объектілерге ғана емес (жарықшақтар, гидрожелі), сонымен қатар антропогендік объектілерге де қолданылады. Мысалы, елді мекендер нүктелеріне сүйеніп халық тығыздығы картасы құрылады.</w:t>
      </w:r>
    </w:p>
    <w:p w:rsidR="00000000" w:rsidDel="00000000" w:rsidP="00000000" w:rsidRDefault="00000000" w:rsidRPr="00000000" w14:paraId="00000026">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Осылайша, буферлерді құру, жылжымалы терезе есептеулері, оверлейлік операциялар бір қабат ішінде ғана емес, бірнеше қабат арасында да кеңістіктік талдау жүргізуге мүмкіндік береді. Бұл </w:t>
      </w:r>
      <w:r w:rsidDel="00000000" w:rsidR="00000000" w:rsidRPr="00000000">
        <w:rPr>
          <w:rFonts w:ascii="Cambria" w:cs="Cambria" w:eastAsia="Cambria" w:hAnsi="Cambria"/>
          <w:b w:val="1"/>
          <w:sz w:val="24"/>
          <w:szCs w:val="24"/>
          <w:rtl w:val="0"/>
        </w:rPr>
        <w:t xml:space="preserve">ГАЖ-модельдеуге</w:t>
      </w:r>
      <w:r w:rsidDel="00000000" w:rsidR="00000000" w:rsidRPr="00000000">
        <w:rPr>
          <w:rFonts w:ascii="Cambria" w:cs="Cambria" w:eastAsia="Cambria" w:hAnsi="Cambria"/>
          <w:sz w:val="24"/>
          <w:szCs w:val="24"/>
          <w:rtl w:val="0"/>
        </w:rPr>
        <w:t xml:space="preserve"> жол ашады.</w:t>
      </w:r>
    </w:p>
    <w:p w:rsidR="00000000" w:rsidDel="00000000" w:rsidP="00000000" w:rsidRDefault="00000000" w:rsidRPr="00000000" w14:paraId="00000027">
      <w:pPr>
        <w:spacing w:after="0" w:before="0"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Растрлармен жұмыс істеу құралдарының ең көп бөлігі </w:t>
      </w:r>
      <w:r w:rsidDel="00000000" w:rsidR="00000000" w:rsidRPr="00000000">
        <w:rPr>
          <w:rFonts w:ascii="Cambria" w:cs="Cambria" w:eastAsia="Cambria" w:hAnsi="Cambria"/>
          <w:b w:val="1"/>
          <w:sz w:val="24"/>
          <w:szCs w:val="24"/>
          <w:rtl w:val="0"/>
        </w:rPr>
        <w:t xml:space="preserve">сандық рельеф модельдеріне (ЦМР)</w:t>
      </w:r>
      <w:r w:rsidDel="00000000" w:rsidR="00000000" w:rsidRPr="00000000">
        <w:rPr>
          <w:rFonts w:ascii="Cambria" w:cs="Cambria" w:eastAsia="Cambria" w:hAnsi="Cambria"/>
          <w:sz w:val="24"/>
          <w:szCs w:val="24"/>
          <w:rtl w:val="0"/>
        </w:rPr>
        <w:t xml:space="preserve"> арналған. ГАЖ-пакеттердің көмегімен есептелетін морфометриялық сипаттамалардың өзі 300-ден асады. Келесі дәрісте біз олардың кейбірін қарастырамыз.</w:t>
      </w:r>
    </w:p>
    <w:p w:rsidR="00000000" w:rsidDel="00000000" w:rsidP="00000000" w:rsidRDefault="00000000" w:rsidRPr="00000000" w14:paraId="00000028">
      <w:pPr>
        <w:spacing w:after="0" w:before="0"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9">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7465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731200" cy="37465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4572000"/>
            <wp:effectExtent b="0" l="0" r="0" t="0"/>
            <wp:docPr id="3"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5731200" cy="4572000"/>
                    </a:xfrm>
                    <a:prstGeom prst="rect"/>
                    <a:ln/>
                  </pic:spPr>
                </pic:pic>
              </a:graphicData>
            </a:graphic>
          </wp:inline>
        </w:drawing>
      </w:r>
      <w:r w:rsidDel="00000000" w:rsidR="00000000" w:rsidRPr="00000000">
        <w:rPr>
          <w:rtl w:val="0"/>
        </w:rPr>
      </w:r>
    </w:p>
    <w:p w:rsidR="00000000" w:rsidDel="00000000" w:rsidP="00000000" w:rsidRDefault="00000000" w:rsidRPr="00000000" w14:paraId="0000002B">
      <w:pPr>
        <w:spacing w:line="240" w:lineRule="auto"/>
        <w:ind w:firstLine="566.9291338582675"/>
        <w:jc w:val="both"/>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2C">
      <w:pPr>
        <w:spacing w:line="240" w:lineRule="auto"/>
        <w:ind w:firstLine="566.9291338582675"/>
        <w:jc w:val="both"/>
        <w:rPr>
          <w:rFonts w:ascii="Cambria" w:cs="Cambria" w:eastAsia="Cambria" w:hAnsi="Cambria"/>
          <w:sz w:val="24"/>
          <w:szCs w:val="24"/>
        </w:rPr>
      </w:pPr>
      <w:r w:rsidDel="00000000" w:rsidR="00000000" w:rsidRPr="00000000">
        <w:rPr>
          <w:rFonts w:ascii="Cambria" w:cs="Cambria" w:eastAsia="Cambria" w:hAnsi="Cambria"/>
          <w:sz w:val="24"/>
          <w:szCs w:val="24"/>
        </w:rPr>
        <w:drawing>
          <wp:inline distB="114300" distT="114300" distL="114300" distR="114300">
            <wp:extent cx="5731200" cy="3225800"/>
            <wp:effectExtent b="0" l="0" r="0" t="0"/>
            <wp:docPr id="2"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731200" cy="3225800"/>
                    </a:xfrm>
                    <a:prstGeom prst="rect"/>
                    <a:ln/>
                  </pic:spPr>
                </pic:pic>
              </a:graphicData>
            </a:graphic>
          </wp:inline>
        </w:drawing>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ru"/>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